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7" w:beforeLines="60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广西医科大学第一附属医院</w:t>
      </w:r>
    </w:p>
    <w:p>
      <w:pPr>
        <w:spacing w:after="187" w:afterLines="60"/>
        <w:jc w:val="center"/>
        <w:rPr>
          <w:rFonts w:hint="eastAsia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</w:rPr>
        <w:t>采购全流程管理系统建设</w:t>
      </w:r>
      <w:r>
        <w:rPr>
          <w:rFonts w:hint="eastAsia"/>
          <w:b/>
          <w:bCs/>
          <w:sz w:val="36"/>
          <w:szCs w:val="44"/>
          <w:lang w:val="en-US" w:eastAsia="zh-CN"/>
        </w:rPr>
        <w:t>要求</w:t>
      </w:r>
    </w:p>
    <w:tbl>
      <w:tblPr>
        <w:tblStyle w:val="8"/>
        <w:tblW w:w="90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4"/>
        <w:gridCol w:w="1483"/>
        <w:gridCol w:w="4640"/>
        <w:gridCol w:w="10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功能模块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二级模块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功能描述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工作台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自定义设计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提供首页布局及展示配置工作台，支持个人通过首页模块组件自定义设计，自定义设计包含组件名称及功能定义、组件位置调整等。</w:t>
            </w:r>
          </w:p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提供待办、已办事项的快速入口，方便采购经办跟踪项目进度，快速审批及业务办理。</w:t>
            </w:r>
          </w:p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提供年度预算、预算执行情况、事项规模统计、内控预警统计、成本控制统计等各类数据可视化图表展示。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代办、已办事项管理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数据驾驶舱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采购预算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年度预算导入及管理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系统支持有品目预算和无品目两种预算管理方式，用户根据实际预算管理需要选择一种管理方式。用户通过EXCEL方式导入年度采购预算，形成年初预算列表。各采购项目归口管理部门可查询当年度权限内采购预算，查询内容包含包含资金使用情况，资金结余情况，全面展示预算与采购的执行情况（包含预算执行率、占用预算、可用预算以及预算执行关联项目明细），呈现预算的执行明细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预算查询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预算调剂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预算追加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预算使用情况分析统计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274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采购计划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采购申请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支持采购需求部门、承办部门依据年度预算发起采购申请，系统根据归口分类、金额自动匹配审批流程，并支持承办部门通过项目启动进入采购准备环节。</w:t>
            </w:r>
          </w:p>
          <w:p>
            <w:pPr>
              <w:widowControl/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支持意向公开、项目论证、需求调研、采购小组会议、院长办公会、党委会等多个环节管控，从招标参数、评标方法、采购方式等方面对方案进行风险评测和规避管理，并通过政策指引和预警，对采购项目的要点进行评测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意向公开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组织项目论证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需求调研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采购小组会议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院办会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党委会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计划下达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274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采购实施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限额以下自行采购登记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从招标文件、招标公告、投标文件签收、评标结果录入、结果公告等环节（环节可根据采购业务过程管理需要进行配置），保障采购交易过程的采购活动记录、采购活动的文件数据的完整性。可依据项目采购方式及执行情况，选择项目采购结果，包含是否中标、供应商、金额等；若未中标，则需说明理由；并上传评标报告等交易环节所形成的文件，进行备案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限额以下委托采购登记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政府采购项目采购登记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政府采购网超采购登记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3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274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合同履约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合同登记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合同登记、合同跟踪、到货确认、验收申请、验收登记、支付申请、支付确认功能，加强合同期限、支付时效性管理，系统将合同、验收、支付三个环节关联，完善内部机制、细化内部流程。合同履约全过程进行归档备案，实现验收过程可视化，易监管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合同跟踪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验收申请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验收登记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支付申请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支付确认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项目论证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评分规则设置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提供院内专家库，手动选取或随机抽取院内专家成员组织论证，被选取的院内专家可登录系统在线提交论证意见，论证时间截止后，经办人汇总专家意见形成最终的论证结论。</w:t>
            </w:r>
          </w:p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评分维度、分值、通过分数线和论证时间配置功能，业务管理部门可通过内部专家库选取相关类别的专家，发起论证，被选取的专家成员登录系统在线打分，论证时间截止后，系统自动判断项目是否通过，形成项目论证结果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专家评审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专家评审结论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项目进度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项目进度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ind w:firstLine="420" w:firstLineChars="200"/>
              <w:rPr>
                <w:rFonts w:hint="default" w:ascii="宋体" w:hAnsi="宋体" w:eastAsia="宋体" w:cs="宋体"/>
                <w:color w:val="000000"/>
                <w:sz w:val="21"/>
                <w:szCs w:val="21"/>
                <w:lang w:eastAsia="zh-CN" w:bidi="ar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lang w:eastAsia="zh-CN" w:bidi="ar"/>
              </w:rPr>
              <w:t>提供项目进度跟踪，通过引导式环节展示，可查看执行中、已执行项目的各环节数据、文档、审批结果等信息，可查看项目各环节累计工时；</w:t>
            </w:r>
          </w:p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支持根据用户不同权限授权查看及管理权限。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采购档案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预归档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现采购全流程自动归档，展示项目从需求发起到合同验收支付等采购全程流程的数据展示、附件材料的查阅和审批流程记录，实现数据的准确性和材料的完整性，确保采购手续齐全。采购全程各环节信息可查询，实现档案补充功能，档案管理员可进入“附件”环节补充上传附件资料，经归档审批形成采购档案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采购档案库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采购预警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数据看板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581"/>
              </w:tabs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提供采购过程预警分析，展示采购过程数据、预警数据明细、预警数据统计、采购类型周数据统计、各科室采购月数据统计展示。</w:t>
            </w:r>
          </w:p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重点项目关键环节审计，审计部门可根据院内管理制度配置需审计部门参与的环节，如重点项目的外部专家论证，立项结果、采购需求文件、合同模板的审计审核。根据医院采购风险级别划分为红橙预警，对全院触发的预警归类，支持预警数量分类  统计、查询，并支持预警信息处理方式登记。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采购预警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预警规则配置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采购统计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采购信息统计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支持采购业务过程中产生的数据（含金额、日期、时间等）从多维度进行统计、分析；提供周期性报表统计（月度、季度、年度等）；各业务数据的分析，展现出可视化统计图表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采购业务分析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采购统计报表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可视化图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表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统计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政策法规库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政策法规库管理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采购法规库维护，依据国家法律法规、省、市政府采购制度及医院管理要求，建设采购法规库，并可关联品类管理、采购金额，匹配相应流程。支持关键字标题检索及内容检索，方便采购人员搜索及学习相关法律法规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条法关联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基础管理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组织机构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管理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通过部门、岗位、角色、权限管理定义，形成医院采购业务相关的组织架构，提供拖拽式工作流引擎配置，采购全流程内控规则配置，并提供政策法规、敏感词库、供应商信息库、品类库、院内专家库等管理，支撑系统的采购全流程及内控规则管理。</w:t>
            </w: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岗位和权限管理</w:t>
            </w:r>
          </w:p>
        </w:tc>
        <w:tc>
          <w:tcPr>
            <w:tcW w:w="46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用户角色管理</w:t>
            </w:r>
          </w:p>
        </w:tc>
        <w:tc>
          <w:tcPr>
            <w:tcW w:w="46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内控规则库</w:t>
            </w:r>
          </w:p>
        </w:tc>
        <w:tc>
          <w:tcPr>
            <w:tcW w:w="46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color w:val="000000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品类库</w:t>
            </w:r>
          </w:p>
        </w:tc>
        <w:tc>
          <w:tcPr>
            <w:tcW w:w="46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敏感词库</w:t>
            </w:r>
          </w:p>
        </w:tc>
        <w:tc>
          <w:tcPr>
            <w:tcW w:w="46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院内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专家库</w:t>
            </w:r>
          </w:p>
        </w:tc>
        <w:tc>
          <w:tcPr>
            <w:tcW w:w="46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招标代理机构库</w:t>
            </w:r>
          </w:p>
        </w:tc>
        <w:tc>
          <w:tcPr>
            <w:tcW w:w="46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供应商信息库</w:t>
            </w:r>
          </w:p>
        </w:tc>
        <w:tc>
          <w:tcPr>
            <w:tcW w:w="46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3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2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市场调查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市场调查</w:t>
            </w:r>
          </w:p>
        </w:tc>
        <w:tc>
          <w:tcPr>
            <w:tcW w:w="464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市场调查功能，可基于项目立项、已形成项目预算、采购申请或无关联发起市场调查，可单一或批量发起市场调查活动面向供应商征集方案。采购经办人可编制市场调查要求、项目公开信息、供应商提交的相关文件类型及格式，并对接医院门户网站，实现市场调研公告在线审核及发布。支持在线审核供应商资格，结合线下调研小组会议，在线选取最优方案，可配置市场调查会议纪要模板，系统根据市场调查结果自动生成会议纪要，支持会签完成的会议纪要等资料上传，形成市场调查全过程记录及结果文件。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供应商服务端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供应商服务端，供应商填写并上传市场调查报名表、方案，主要功能需包含供应商注册登记，供应商营业执照等资质文件上传，企业联系人、法人、企业经营范围等相关认证信息填写。支持供应商查看市场调查中的项目公告，并可选择相应的项目进行市场调查报名，根据市场调查要求的文件规范填写报名表，并上传相关附件。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移动审批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待审批项目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40" w:firstLineChars="200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提供移动审批小程序可对接钉钉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OA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，医院提供接口，通过调测可实现对接。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已审批项目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4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医用耗材遴选管理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耗材遴选申请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支持医用耗材新增、替换、替补等遴选需求等不同应用场景，需求部门发起医用耗材遴选申请及审批，目录遴选及市场调查，经事前公示、专家抽取、供应商方案投递、供应商预审、结果登记、遴选结果公示，医用耗材管理委员会审核，领导办公会及党委会审议，遴选后确定经医用耗材管理委员会审批，形成耗材目录及准入供应商。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可选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耗材遴选审批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事前公示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市场调查登记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专家抽取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供应商方案征集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供应商预审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遴选结果登记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遴选结果公示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耗材管理委员会审核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绩效评价管理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绩效目标评估</w:t>
            </w:r>
          </w:p>
        </w:tc>
        <w:tc>
          <w:tcPr>
            <w:tcW w:w="4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支持通过项目立项论证评估绩效目标，并基于设定的绩效目标发起审批流程，审核人员上传相关项目绩效评估意见，经审批完成后形成事前采购绩效目标。</w:t>
            </w:r>
          </w:p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项目负责人可根据项目履约验收情况，项目执行过程效益分析在系统中登记并提交绩效完成情况。</w:t>
            </w:r>
          </w:p>
          <w:p>
            <w:pPr>
              <w:widowControl/>
              <w:ind w:firstLine="420" w:firstLineChars="200"/>
              <w:textAlignment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生成事前、事中、事后绩效目标评价比对表，项目负责人确认项目绩效达成情况，并登记评价结果进行业务闭环控制管理。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绩效成效登记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绩效评价结果确认</w:t>
            </w:r>
          </w:p>
        </w:tc>
        <w:tc>
          <w:tcPr>
            <w:tcW w:w="4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数据接口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数据接口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ind w:firstLine="480"/>
              <w:rPr>
                <w:rFonts w:hint="default"/>
                <w:kern w:val="2"/>
                <w:sz w:val="21"/>
                <w:szCs w:val="24"/>
                <w:lang w:eastAsia="zh-CN"/>
              </w:rPr>
            </w:pPr>
            <w:r>
              <w:rPr>
                <w:rFonts w:hint="default"/>
                <w:kern w:val="2"/>
                <w:sz w:val="21"/>
                <w:szCs w:val="24"/>
                <w:lang w:eastAsia="zh-CN"/>
              </w:rPr>
              <w:t>包含本系统与医院门户网站、</w:t>
            </w:r>
            <w:r>
              <w:rPr>
                <w:kern w:val="2"/>
                <w:sz w:val="21"/>
                <w:szCs w:val="24"/>
                <w:lang w:eastAsia="zh-CN"/>
              </w:rPr>
              <w:t>统一身份认证、资产管理系统</w:t>
            </w:r>
            <w:r>
              <w:rPr>
                <w:rFonts w:hint="eastAsia"/>
                <w:kern w:val="2"/>
                <w:sz w:val="21"/>
                <w:szCs w:val="24"/>
                <w:lang w:eastAsia="zh-CN"/>
              </w:rPr>
              <w:t>、</w:t>
            </w:r>
            <w:r>
              <w:rPr>
                <w:rFonts w:hint="eastAsia"/>
                <w:kern w:val="2"/>
                <w:sz w:val="21"/>
                <w:szCs w:val="24"/>
                <w:lang w:val="en-US" w:eastAsia="zh-CN"/>
              </w:rPr>
              <w:t>数据/业务中台</w:t>
            </w:r>
            <w:r>
              <w:rPr>
                <w:rFonts w:hint="default"/>
                <w:kern w:val="2"/>
                <w:sz w:val="21"/>
                <w:szCs w:val="24"/>
                <w:lang w:eastAsia="zh-CN"/>
              </w:rPr>
              <w:t>对接接口开发</w:t>
            </w:r>
            <w:r>
              <w:rPr>
                <w:rFonts w:hint="eastAsia"/>
                <w:kern w:val="2"/>
                <w:sz w:val="21"/>
                <w:szCs w:val="24"/>
                <w:lang w:val="en-US" w:eastAsia="zh-CN"/>
              </w:rPr>
              <w:t>及本系统的数据院内共享</w:t>
            </w:r>
            <w:r>
              <w:rPr>
                <w:rFonts w:hint="default"/>
                <w:kern w:val="2"/>
                <w:sz w:val="21"/>
                <w:szCs w:val="24"/>
                <w:lang w:eastAsia="zh-CN"/>
              </w:rPr>
              <w:t>。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rPr>
                <w:sz w:val="21"/>
                <w:szCs w:val="21"/>
                <w:lang w:bidi="ar"/>
              </w:rPr>
            </w:pPr>
          </w:p>
        </w:tc>
      </w:tr>
    </w:tbl>
    <w:p>
      <w:pPr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NjM2YjFiY2QwNzc3ODBhMmY3NDEwNDdkODRkYWEifQ=="/>
  </w:docVars>
  <w:rsids>
    <w:rsidRoot w:val="01BE54DC"/>
    <w:rsid w:val="001A2088"/>
    <w:rsid w:val="002C067F"/>
    <w:rsid w:val="002E6A77"/>
    <w:rsid w:val="00456A00"/>
    <w:rsid w:val="006B5022"/>
    <w:rsid w:val="007E1078"/>
    <w:rsid w:val="008854F2"/>
    <w:rsid w:val="009310FD"/>
    <w:rsid w:val="00A120AD"/>
    <w:rsid w:val="00A507CD"/>
    <w:rsid w:val="00C86C33"/>
    <w:rsid w:val="00C92B71"/>
    <w:rsid w:val="00E64950"/>
    <w:rsid w:val="00EB53C6"/>
    <w:rsid w:val="01BE54DC"/>
    <w:rsid w:val="08557D0F"/>
    <w:rsid w:val="0AAF1847"/>
    <w:rsid w:val="12E50BB3"/>
    <w:rsid w:val="13081B9E"/>
    <w:rsid w:val="16001A6E"/>
    <w:rsid w:val="16584896"/>
    <w:rsid w:val="192D7EB6"/>
    <w:rsid w:val="1A0C111B"/>
    <w:rsid w:val="1C0E2F29"/>
    <w:rsid w:val="1CB533A4"/>
    <w:rsid w:val="1E2E1636"/>
    <w:rsid w:val="1ED03C6D"/>
    <w:rsid w:val="20E418A7"/>
    <w:rsid w:val="221943D6"/>
    <w:rsid w:val="238B30B1"/>
    <w:rsid w:val="25001E69"/>
    <w:rsid w:val="27963C7F"/>
    <w:rsid w:val="29483721"/>
    <w:rsid w:val="29684827"/>
    <w:rsid w:val="2EB736C7"/>
    <w:rsid w:val="2F3640BF"/>
    <w:rsid w:val="324F237E"/>
    <w:rsid w:val="32513718"/>
    <w:rsid w:val="35223149"/>
    <w:rsid w:val="362F5B1E"/>
    <w:rsid w:val="38CF7E3F"/>
    <w:rsid w:val="3A7925D4"/>
    <w:rsid w:val="3AEF3ACE"/>
    <w:rsid w:val="3B2D10C2"/>
    <w:rsid w:val="3D314198"/>
    <w:rsid w:val="3EC510CE"/>
    <w:rsid w:val="3F6C1942"/>
    <w:rsid w:val="416F5968"/>
    <w:rsid w:val="4206235B"/>
    <w:rsid w:val="43707776"/>
    <w:rsid w:val="437101AA"/>
    <w:rsid w:val="44426E70"/>
    <w:rsid w:val="44BF2763"/>
    <w:rsid w:val="45693CEF"/>
    <w:rsid w:val="46670439"/>
    <w:rsid w:val="49045382"/>
    <w:rsid w:val="4AFB201B"/>
    <w:rsid w:val="4BAB1C93"/>
    <w:rsid w:val="4C443EC1"/>
    <w:rsid w:val="4E5E4D9B"/>
    <w:rsid w:val="51510BE7"/>
    <w:rsid w:val="518B61F8"/>
    <w:rsid w:val="52A65DDA"/>
    <w:rsid w:val="534327B1"/>
    <w:rsid w:val="54215037"/>
    <w:rsid w:val="55A469C7"/>
    <w:rsid w:val="56FC7846"/>
    <w:rsid w:val="59287143"/>
    <w:rsid w:val="5A094754"/>
    <w:rsid w:val="5A8B2694"/>
    <w:rsid w:val="5A8D6002"/>
    <w:rsid w:val="5AC25726"/>
    <w:rsid w:val="5B351579"/>
    <w:rsid w:val="5BC66B0A"/>
    <w:rsid w:val="605821D7"/>
    <w:rsid w:val="60B84923"/>
    <w:rsid w:val="610A07EA"/>
    <w:rsid w:val="616A3388"/>
    <w:rsid w:val="63057A83"/>
    <w:rsid w:val="64414A16"/>
    <w:rsid w:val="66F347C2"/>
    <w:rsid w:val="681443BD"/>
    <w:rsid w:val="69431F17"/>
    <w:rsid w:val="6D7D04E8"/>
    <w:rsid w:val="6E1A3A66"/>
    <w:rsid w:val="6FEC6265"/>
    <w:rsid w:val="707E0B75"/>
    <w:rsid w:val="71F52123"/>
    <w:rsid w:val="728946EE"/>
    <w:rsid w:val="7579436E"/>
    <w:rsid w:val="75A10108"/>
    <w:rsid w:val="76D872C4"/>
    <w:rsid w:val="76EB4E07"/>
    <w:rsid w:val="7A0C674C"/>
    <w:rsid w:val="7B4927AB"/>
    <w:rsid w:val="7C9F63FA"/>
    <w:rsid w:val="7CE73106"/>
    <w:rsid w:val="7D37553B"/>
    <w:rsid w:val="7DD05CDC"/>
    <w:rsid w:val="7F07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unhideWhenUsed/>
    <w:qFormat/>
    <w:uiPriority w:val="99"/>
    <w:pPr>
      <w:spacing w:after="120"/>
    </w:pPr>
    <w:rPr>
      <w:rFonts w:eastAsia="宋体"/>
      <w:sz w:val="24"/>
    </w:rPr>
  </w:style>
  <w:style w:type="paragraph" w:customStyle="1" w:styleId="3">
    <w:name w:val="一级条标题"/>
    <w:basedOn w:val="4"/>
    <w:next w:val="5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autoRedefine/>
    <w:qFormat/>
    <w:uiPriority w:val="0"/>
    <w:pPr>
      <w:spacing w:line="360" w:lineRule="auto"/>
      <w:jc w:val="both"/>
      <w:outlineLvl w:val="1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customStyle="1" w:styleId="5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szCs w:val="22"/>
      <w:lang w:val="en-US" w:eastAsia="zh-CN" w:bidi="ar-SA"/>
    </w:rPr>
  </w:style>
  <w:style w:type="paragraph" w:styleId="6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Emphasis"/>
    <w:basedOn w:val="9"/>
    <w:autoRedefine/>
    <w:qFormat/>
    <w:uiPriority w:val="0"/>
    <w:rPr>
      <w:i/>
    </w:rPr>
  </w:style>
  <w:style w:type="paragraph" w:customStyle="1" w:styleId="1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2">
    <w:name w:val="页眉 字符"/>
    <w:basedOn w:val="9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538</Words>
  <Characters>3073</Characters>
  <Lines>25</Lines>
  <Paragraphs>7</Paragraphs>
  <TotalTime>40</TotalTime>
  <ScaleCrop>false</ScaleCrop>
  <LinksUpToDate>false</LinksUpToDate>
  <CharactersWithSpaces>3604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2022-12-12T02:50:00Z</dcterms:created>
  <dc:creator>吴昌镇</dc:creator>
  <cp:lastModifiedBy>hxl</cp:lastModifiedBy>
  <dcterms:modified xsi:type="dcterms:W3CDTF">2024-03-06T03:16:01Z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44B9C21462FD475A8CC1B089365B2182_13</vt:lpwstr>
  </property>
</Properties>
</file>